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Roverchiara</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Verona</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